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1" w:rsidRDefault="008A15F1" w:rsidP="008A15F1">
      <w:pPr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Pravidlá  futbalu pre Mladších žiakov ObFZ Považská Bystrica</w:t>
      </w:r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I.</w:t>
      </w:r>
      <w:proofErr w:type="gram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Hracia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plocha</w:t>
      </w:r>
      <w:proofErr w:type="spellEnd"/>
    </w:p>
    <w:p w:rsidR="008A15F1" w:rsidRP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8"/>
          <w:szCs w:val="28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Hracia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plocha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(ďalej len </w:t>
      </w:r>
      <w:r>
        <w:rPr>
          <w:rFonts w:ascii="Times New Roman" w:eastAsia="Arial Unicode MS" w:hAnsi="Times New Roman"/>
          <w:b/>
          <w:sz w:val="28"/>
          <w:szCs w:val="28"/>
        </w:rPr>
        <w:t>HP</w:t>
      </w:r>
      <w:r>
        <w:rPr>
          <w:rFonts w:ascii="Times New Roman" w:eastAsia="Arial Unicode MS" w:hAnsi="Times New Roman"/>
          <w:sz w:val="28"/>
          <w:szCs w:val="28"/>
        </w:rPr>
        <w:t>)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dlhá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Pr="00BC0654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5- </w:t>
      </w:r>
      <w:proofErr w:type="spellStart"/>
      <w:proofErr w:type="gramStart"/>
      <w:r w:rsidRPr="00BC0654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ťky</w:t>
      </w:r>
      <w:proofErr w:type="spellEnd"/>
      <w:r w:rsidR="00BC0654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</w:t>
      </w:r>
      <w:proofErr w:type="spellEnd"/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Pr="00BC0654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5- </w:t>
      </w:r>
      <w:proofErr w:type="spellStart"/>
      <w:r w:rsidRPr="00BC0654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ťku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šírka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totožná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so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šírkou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futbalového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ihriska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Šírka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PU je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ohraničená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="00EF751D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16- </w:t>
      </w:r>
      <w:proofErr w:type="spellStart"/>
      <w:r w:rsidR="00EF751D"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kou</w:t>
      </w:r>
      <w:proofErr w:type="spellEnd"/>
      <w:r w:rsidR="00EF751D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 w:rsidR="00EF751D"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bránkové</w:t>
      </w:r>
      <w:proofErr w:type="spellEnd"/>
      <w:r w:rsidR="00EF751D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čiary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vyznačia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kužeľmi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Minimálne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rozmery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hracej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plochy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="006A6A1E" w:rsidRPr="00BC0654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80</w:t>
      </w:r>
      <w:r w:rsidRPr="00BC0654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 x 45 m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metrov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maximálne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 </w:t>
      </w:r>
      <w:r w:rsidRPr="00B8474B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9</w:t>
      </w:r>
      <w:r w:rsidR="00B8474B" w:rsidRPr="00B8474B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5</w:t>
      </w:r>
      <w:proofErr w:type="gramEnd"/>
      <w:r w:rsidRPr="00B8474B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 x 70 m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metrov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Značka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pokutového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kopu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je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vzdialenosti</w:t>
      </w:r>
      <w:proofErr w:type="spellEnd"/>
      <w:r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 8m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bránkovej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čiary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strede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rozmer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Pr="00B8474B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5 x 2 m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byť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vybavené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sieťami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zabezpečené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proti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prevráteniu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zapichovacie</w:t>
      </w:r>
      <w:proofErr w:type="spellEnd"/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háčiky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resp.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plastové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vrecia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s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pieskom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).</w:t>
      </w:r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II.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Lopta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Zápasy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hrajú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výlučne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s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veľkosti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Pr="00075AD2"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č.4.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Usporiadateľ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pripraviť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k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minimálne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  <w:proofErr w:type="gramEnd"/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III.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Počet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hráčov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štartuje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11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jeden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byť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vždy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brankár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eastAsia="Arial Unicode MS" w:hAnsi="Times New Roman"/>
          <w:noProof w:val="0"/>
          <w:sz w:val="16"/>
          <w:szCs w:val="16"/>
          <w:lang w:val="en-US"/>
        </w:rPr>
        <w:t xml:space="preserve">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minimálny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počet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je 8 (1+7) 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Striedanie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bez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obmedzenia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počtu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striedajúcich</w:t>
      </w:r>
      <w:proofErr w:type="spellEnd"/>
      <w:proofErr w:type="gramStart"/>
      <w:r>
        <w:rPr>
          <w:rFonts w:ascii="Times New Roman" w:eastAsia="Arial Unicode MS" w:hAnsi="Times New Roman"/>
          <w:noProof w:val="0"/>
          <w:sz w:val="16"/>
          <w:szCs w:val="16"/>
          <w:lang w:val="en-US"/>
        </w:rPr>
        <w:t>,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Striedanie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uskutočňuje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výlučne</w:t>
      </w:r>
      <w:proofErr w:type="spellEnd"/>
      <w:r>
        <w:rPr>
          <w:rFonts w:ascii="Times New Roman" w:eastAsia="Arial Unicode MS" w:hAnsi="Times New Roman"/>
          <w:noProof w:val="0"/>
          <w:sz w:val="16"/>
          <w:szCs w:val="16"/>
          <w:lang w:val="en-US"/>
        </w:rPr>
        <w:t xml:space="preserve"> 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v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prerušenej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so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súhlasom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IV.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Výstroj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hráčov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nastúpi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jednotnej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výstroji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rovnaké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dresy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),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brankár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farebne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odlíšený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dres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oboch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družstiev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 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môžu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odohrať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výlučne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kopačkách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s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lisovanou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podrážkou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Chrániče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holení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povinné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byť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zakryté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štulpňami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V.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Rozhodca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rPr>
          <w:rFonts w:ascii="Times New Roman" w:eastAsia="Arial Unicode MS" w:hAnsi="Times New Roman"/>
          <w:noProof w:val="0"/>
          <w:sz w:val="28"/>
          <w:szCs w:val="28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dbá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dodržiavanie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pravidiel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stretnutím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dbá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riadne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vyplnenie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zápisu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o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 </w:t>
      </w:r>
      <w:r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ISSF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Riadne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vyplnený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zápis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uzatvorí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bezprostredne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</w:t>
      </w:r>
      <w:r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 ISSF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Kvalifikovaného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zabezpečí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KR </w:t>
      </w:r>
      <w:proofErr w:type="spellStart"/>
      <w:r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>ObFZ</w:t>
      </w:r>
      <w:proofErr w:type="spellEnd"/>
      <w:r>
        <w:rPr>
          <w:rFonts w:ascii="Times New Roman" w:eastAsia="Arial Unicode MS" w:hAnsi="Times New Roman"/>
          <w:b/>
          <w:noProof w:val="0"/>
          <w:sz w:val="28"/>
          <w:szCs w:val="28"/>
          <w:lang w:val="en-US"/>
        </w:rPr>
        <w:t xml:space="preserve"> PB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prípade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nedostavenia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kvalifikovaného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vedúci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kapitáni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povinné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dohodnúť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rozhodcovi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laikovi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nedohodnú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o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rozhodcovi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žreb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toto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uviesť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zápise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o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odohrať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       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="003851FF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laik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preberá</w:t>
      </w:r>
      <w:proofErr w:type="spellEnd"/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všetky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právomoci</w:t>
      </w:r>
      <w:proofErr w:type="spellEnd"/>
      <w:r w:rsidR="00AE4844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kvalifikovaného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="00AE4844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povinné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rešpektovať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jeho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rozhodnutia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 </w:t>
      </w:r>
      <w:r w:rsidR="00B8474B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lastRenderedPageBreak/>
        <w:t>Ak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rozhoduje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="00B8474B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R -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laik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r w:rsidR="00B8474B" w:rsidRP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v </w:t>
      </w:r>
      <w:proofErr w:type="spellStart"/>
      <w:r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zápis</w:t>
      </w:r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e</w:t>
      </w:r>
      <w:proofErr w:type="spellEnd"/>
      <w:r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o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stretnutí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je </w:t>
      </w:r>
      <w:proofErr w:type="spellStart"/>
      <w:r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povinný</w:t>
      </w:r>
      <w:proofErr w:type="spellEnd"/>
      <w:r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domáci</w:t>
      </w:r>
      <w:proofErr w:type="spellEnd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klubový</w:t>
      </w:r>
      <w:proofErr w:type="spellEnd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alebo</w:t>
      </w:r>
      <w:proofErr w:type="spellEnd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tímový</w:t>
      </w:r>
      <w:proofErr w:type="spellEnd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5E1524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manažér</w:t>
      </w:r>
      <w:proofErr w:type="spellEnd"/>
      <w:r w:rsidR="00743E5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uzatvoriť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nominácie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v</w:t>
      </w:r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rátane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realizačných</w:t>
      </w:r>
      <w:proofErr w:type="spellEnd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tímov</w:t>
      </w:r>
      <w:proofErr w:type="spellEnd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, HU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pred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začiatkom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stretnut</w:t>
      </w:r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ia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,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vytlačiť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zápasovú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súpisku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s </w:t>
      </w:r>
      <w:proofErr w:type="spellStart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fotografiami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pre </w:t>
      </w:r>
      <w:proofErr w:type="spellStart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povinnú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konfrontáciu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družstiev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pred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MFS, </w:t>
      </w:r>
      <w:proofErr w:type="spellStart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ihneď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po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skončen</w:t>
      </w:r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í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MFS </w:t>
      </w:r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(</w:t>
      </w:r>
      <w:proofErr w:type="spellStart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maximálne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075AD2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však</w:t>
      </w:r>
      <w:proofErr w:type="spellEnd"/>
      <w:r w:rsidR="00075AD2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do 48 </w:t>
      </w:r>
      <w:proofErr w:type="spellStart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hod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.)  </w:t>
      </w:r>
      <w:proofErr w:type="spellStart"/>
      <w:r w:rsidR="00B8474B" w:rsidRPr="005E152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vyplniť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všetky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potrebné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údaje</w:t>
      </w:r>
      <w:proofErr w:type="spellEnd"/>
      <w:r w:rsidR="001F2984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a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priebežne</w:t>
      </w:r>
      <w:proofErr w:type="spellEnd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  <w:proofErr w:type="spellStart"/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uložiť</w:t>
      </w:r>
      <w:proofErr w:type="spellEnd"/>
      <w:r w:rsidR="003851FF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>.</w:t>
      </w:r>
      <w:r w:rsidR="00B8474B">
        <w:rPr>
          <w:rFonts w:ascii="Times New Roman" w:eastAsia="Arial Unicode MS" w:hAnsi="Times New Roman"/>
          <w:b/>
          <w:noProof w:val="0"/>
          <w:color w:val="FF0000"/>
          <w:sz w:val="28"/>
          <w:szCs w:val="28"/>
          <w:lang w:val="en-US"/>
        </w:rPr>
        <w:t xml:space="preserve"> 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VII.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Hrací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čas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Hrajú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 2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polčasy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30.minút.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oboch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prípadoch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medzi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zápasmi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prestávka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 w:rsidR="00AE4844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15</w:t>
      </w:r>
      <w:proofErr w:type="gram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minút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VIII.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Začiatok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hry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začiatkom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stretnutia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žrebuje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mincou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o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polovicu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HP.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ktoré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vyhralo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žreb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zvolí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polovicu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HP. Na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znamenie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začína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výkopom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stredovej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značky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HP.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začína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výkopom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začiatku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I.</w:t>
      </w:r>
      <w:r w:rsidR="00EF44AB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polčasu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začiatkom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II.</w:t>
      </w:r>
      <w:r w:rsidR="00EF44AB"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polčasu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a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dosiahnutí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každého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gólu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Po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polčase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družstvá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vymenia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strany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IX.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Lopta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v 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hre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a 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mimo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hry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Platí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futbale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Dosiahnutie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gólu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Platí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futbale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Hráč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mimo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hru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Platí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futbale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XII.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Zakázaná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hra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a 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nešportové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správanie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8"/>
          <w:szCs w:val="28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Platí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futbale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XIII.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Voľné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kopy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Proti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ktorého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dopustil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porušenia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pravidiel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nariadi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voľný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kop.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jeho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realizácii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musia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byť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súperovho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vzdialení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minimálne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6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metrov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AE4844" w:rsidRDefault="00AE4844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b/>
          <w:bCs/>
          <w:noProof w:val="0"/>
          <w:sz w:val="28"/>
          <w:lang w:val="en-US"/>
        </w:rPr>
      </w:pP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lastRenderedPageBreak/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XIV.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Pokutový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kop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porušení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pravidla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XII. 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brániaceho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vlastnom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PU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nariaďuje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rozhodca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pokutový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kop.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Pokutový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kop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vykonáva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značky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pokutového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kopu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vzdialenosti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8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metrov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od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bránkovej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čiary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strede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bránky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XV.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Vhadzovanie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lopty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prejde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zemi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alebo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vzduchu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postrannú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čiaru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vhadzuje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ju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HP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niektorý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z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toho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družstva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ktorého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hráč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nedotkol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posledný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XVI. Kop 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od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brány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otvorenie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hry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,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malá</w:t>
      </w:r>
      <w:proofErr w:type="spellEnd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b/>
          <w:bCs/>
          <w:noProof w:val="0"/>
          <w:sz w:val="28"/>
          <w:lang w:val="en-US"/>
        </w:rPr>
        <w:t>domov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Brankár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smie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z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vlastného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PU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rozohrať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do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rukou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alebo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nohou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Lopta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je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hre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položením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na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zem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Pri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malej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domov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platí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pravidlo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ako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vo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veľkom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futbale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. V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prípade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porušenia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pravidla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o 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malej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 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domov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zahráva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priamy</w:t>
      </w:r>
      <w:proofErr w:type="spellEnd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 xml:space="preserve"> kop </w:t>
      </w:r>
      <w:proofErr w:type="spellStart"/>
      <w:r>
        <w:rPr>
          <w:rFonts w:ascii="Times New Roman" w:eastAsia="Arial Unicode MS" w:hAnsi="Times New Roman"/>
          <w:noProof w:val="0"/>
          <w:sz w:val="28"/>
          <w:szCs w:val="28"/>
          <w:lang w:val="en-US"/>
        </w:rPr>
        <w:t>proti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družstvu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ktoré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previnilo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z 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čiary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PU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najbližšie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kolmo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k 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miestu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kde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bolo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porušené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pravidlo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noProof w:val="0"/>
          <w:sz w:val="28"/>
          <w:lang w:val="en-US"/>
        </w:rPr>
        <w:t>Pravidlo</w:t>
      </w:r>
      <w:proofErr w:type="spellEnd"/>
      <w:r>
        <w:rPr>
          <w:rFonts w:ascii="Times New Roman" w:eastAsia="Times New Roman" w:hAnsi="Times New Roman"/>
          <w:b/>
          <w:bCs/>
          <w:noProof w:val="0"/>
          <w:sz w:val="28"/>
          <w:lang w:val="en-US"/>
        </w:rPr>
        <w:t xml:space="preserve"> XVII.  Kop z </w:t>
      </w:r>
      <w:proofErr w:type="spellStart"/>
      <w:r>
        <w:rPr>
          <w:rFonts w:ascii="Times New Roman" w:eastAsia="Times New Roman" w:hAnsi="Times New Roman"/>
          <w:b/>
          <w:bCs/>
          <w:noProof w:val="0"/>
          <w:sz w:val="28"/>
          <w:lang w:val="en-US"/>
        </w:rPr>
        <w:t>rohu</w:t>
      </w:r>
      <w:proofErr w:type="spellEnd"/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Rohový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kop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zahráva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s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rohov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pokutového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územia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Priamo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z 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kopu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z 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rohu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môže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byť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dosiahnutý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gól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Hráči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brániaceho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družstva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musia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byť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pri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zahrávaní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kopu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vzdialení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od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lopty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minimálne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6 </w:t>
      </w:r>
      <w:proofErr w:type="spellStart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metrov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</w:p>
    <w:p w:rsidR="008A15F1" w:rsidRDefault="008A15F1" w:rsidP="008A1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Pravidlo</w:t>
      </w:r>
      <w:proofErr w:type="spellEnd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XVIII.  </w:t>
      </w:r>
      <w:proofErr w:type="spellStart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Náležitosti</w:t>
      </w:r>
      <w:proofErr w:type="spellEnd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družstva</w:t>
      </w:r>
      <w:proofErr w:type="spellEnd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 xml:space="preserve"> / </w:t>
      </w:r>
      <w:proofErr w:type="spellStart"/>
      <w:r>
        <w:rPr>
          <w:rFonts w:ascii="Times New Roman" w:eastAsia="Times New Roman" w:hAnsi="Times New Roman"/>
          <w:b/>
          <w:bCs/>
          <w:noProof w:val="0"/>
          <w:sz w:val="28"/>
          <w:szCs w:val="28"/>
          <w:lang w:val="en-US"/>
        </w:rPr>
        <w:t>súpisky</w:t>
      </w:r>
      <w:proofErr w:type="spellEnd"/>
    </w:p>
    <w:p w:rsidR="008A15F1" w:rsidRDefault="008A15F1" w:rsidP="008A15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Sezónnu súpisku FK nezasielajú riadiacemu orgánu. Klubový </w:t>
      </w:r>
      <w:r>
        <w:rPr>
          <w:rFonts w:ascii="Times New Roman" w:hAnsi="Times New Roman"/>
          <w:b/>
          <w:sz w:val="28"/>
          <w:szCs w:val="28"/>
        </w:rPr>
        <w:t>ISSF manažér</w:t>
      </w:r>
      <w:r>
        <w:rPr>
          <w:rFonts w:ascii="Times New Roman" w:hAnsi="Times New Roman"/>
          <w:sz w:val="28"/>
          <w:szCs w:val="28"/>
        </w:rPr>
        <w:t xml:space="preserve"> vyplní údaje podľa predlohy v </w:t>
      </w:r>
      <w:r>
        <w:rPr>
          <w:rFonts w:ascii="Times New Roman" w:hAnsi="Times New Roman"/>
          <w:b/>
          <w:sz w:val="28"/>
          <w:szCs w:val="28"/>
        </w:rPr>
        <w:t xml:space="preserve"> ISSF</w:t>
      </w:r>
      <w:r>
        <w:rPr>
          <w:rFonts w:ascii="Times New Roman" w:hAnsi="Times New Roman"/>
          <w:sz w:val="28"/>
          <w:szCs w:val="28"/>
        </w:rPr>
        <w:t xml:space="preserve">. Sezónna súpiska v  systéme </w:t>
      </w:r>
      <w:r>
        <w:rPr>
          <w:rFonts w:ascii="Times New Roman" w:hAnsi="Times New Roman"/>
          <w:b/>
          <w:sz w:val="28"/>
          <w:szCs w:val="28"/>
        </w:rPr>
        <w:t>ISSF</w:t>
      </w:r>
      <w:r>
        <w:rPr>
          <w:rFonts w:ascii="Times New Roman" w:hAnsi="Times New Roman"/>
          <w:sz w:val="28"/>
          <w:szCs w:val="28"/>
        </w:rPr>
        <w:t xml:space="preserve"> musí byť vyplnená pred začiatkom súťažného ročníka. Doplnením hráčov na sezónnu súpisku alebo jej doplnením v </w:t>
      </w:r>
      <w:r>
        <w:rPr>
          <w:rFonts w:ascii="Times New Roman" w:hAnsi="Times New Roman"/>
          <w:b/>
          <w:sz w:val="28"/>
          <w:szCs w:val="28"/>
        </w:rPr>
        <w:t>ISSF</w:t>
      </w:r>
      <w:r>
        <w:rPr>
          <w:rFonts w:ascii="Times New Roman" w:hAnsi="Times New Roman"/>
          <w:sz w:val="28"/>
          <w:szCs w:val="28"/>
        </w:rPr>
        <w:t>, FK automaticky potvrdzujú aj vykonanie predpísanej lekárskej prehliadky, ktorú má právo riadiaci orgán sám alebo prostredníctvom DO kedykoľvek skontrolovať. Z uvedenej súpisky sa následne hráči nahrávajú do zápisu o stretnutí.</w:t>
      </w:r>
    </w:p>
    <w:p w:rsidR="008A15F1" w:rsidRPr="003C1348" w:rsidRDefault="008A15F1" w:rsidP="003C1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Sezónna súpiska družstva sa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vypĺňa </w:t>
      </w:r>
      <w:r>
        <w:rPr>
          <w:rFonts w:ascii="Times New Roman" w:hAnsi="Times New Roman"/>
          <w:sz w:val="28"/>
          <w:szCs w:val="28"/>
        </w:rPr>
        <w:t xml:space="preserve"> pre jesennú časť súťažného ročníka. Pre jarnú časť sa súpiska len priebežne dopĺňa. Postup je nasledovný: Pri nominovaný hráča, ktorý nie je uvedený na sezónnej súpiske na stretnutie, systém ISSF hráča automaticky doplní do sezónnej súpisky s poradovým číslom, ktoré nasleduje</w:t>
      </w:r>
      <w:r w:rsidR="00AE4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a pošle o tom notifikáciu správcovi súťaže. Zaniká tým povinnosť inej formy nahlasovania (doplňovania)  nového hráča do súpisky</w:t>
      </w:r>
      <w:r w:rsidR="009068B8">
        <w:rPr>
          <w:rFonts w:ascii="Times New Roman" w:hAnsi="Times New Roman"/>
          <w:sz w:val="28"/>
          <w:szCs w:val="28"/>
        </w:rPr>
        <w:t>.</w:t>
      </w:r>
    </w:p>
    <w:p w:rsidR="0087520A" w:rsidRDefault="008A15F1" w:rsidP="001C7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Zmyslom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súťaží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učiť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žiakov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hrať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futbal</w:t>
      </w:r>
      <w:proofErr w:type="spellEnd"/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a 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nie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>získavať</w:t>
      </w:r>
      <w:proofErr w:type="spellEnd"/>
      <w:r>
        <w:rPr>
          <w:rFonts w:ascii="Times New Roman" w:eastAsia="Times New Roman" w:hAnsi="Times New Roman"/>
          <w:b/>
          <w:noProof w:val="0"/>
          <w:sz w:val="28"/>
          <w:szCs w:val="28"/>
          <w:lang w:val="en-US"/>
        </w:rPr>
        <w:t xml:space="preserve"> body</w:t>
      </w:r>
      <w:r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proofErr w:type="gramEnd"/>
    </w:p>
    <w:tbl>
      <w:tblPr>
        <w:tblW w:w="8556" w:type="dxa"/>
        <w:tblInd w:w="93" w:type="dxa"/>
        <w:tblLook w:val="04A0"/>
      </w:tblPr>
      <w:tblGrid>
        <w:gridCol w:w="400"/>
        <w:gridCol w:w="300"/>
        <w:gridCol w:w="400"/>
        <w:gridCol w:w="760"/>
        <w:gridCol w:w="1300"/>
        <w:gridCol w:w="1300"/>
        <w:gridCol w:w="1300"/>
        <w:gridCol w:w="1300"/>
        <w:gridCol w:w="761"/>
        <w:gridCol w:w="400"/>
        <w:gridCol w:w="300"/>
        <w:gridCol w:w="222"/>
      </w:tblGrid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D8D8D8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D8D8D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3C1348" w:rsidP="006B17AB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</w:pPr>
            <w:r w:rsidRPr="003C1348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P.</w:t>
            </w:r>
            <w:r w:rsidR="006B17AB" w:rsidRPr="006B17AB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kop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</w:pPr>
            <w:r w:rsidRPr="006B17AB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5 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D8D8D8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D8D8D8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</w:pPr>
            <w:r w:rsidRPr="006B17AB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8 m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</w:pPr>
            <w:r w:rsidRPr="006B17AB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2 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</w:pPr>
            <w:r w:rsidRPr="006B17AB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10m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  <w:r w:rsidRPr="006B17AB">
              <w:rPr>
                <w:rFonts w:eastAsia="Times New Roman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gridAfter w:val="1"/>
          <w:wAfter w:w="36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  <w:tr w:rsidR="006B17AB" w:rsidRPr="006B17AB" w:rsidTr="006B17AB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color w:val="000000"/>
                <w:lang w:val="en-US"/>
              </w:rPr>
            </w:pP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</w:pPr>
            <w:proofErr w:type="spellStart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>Minimálna</w:t>
            </w:r>
            <w:proofErr w:type="spellEnd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>hracia</w:t>
            </w:r>
            <w:proofErr w:type="spellEnd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 xml:space="preserve"> </w:t>
            </w:r>
            <w:proofErr w:type="spellStart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>plocha</w:t>
            </w:r>
            <w:proofErr w:type="spellEnd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 xml:space="preserve"> 80 x 45 m, </w:t>
            </w:r>
            <w:proofErr w:type="spellStart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>maximálna</w:t>
            </w:r>
            <w:proofErr w:type="spellEnd"/>
            <w:r w:rsidRPr="006B17AB">
              <w:rPr>
                <w:rFonts w:ascii="Times New Roman" w:eastAsia="Times New Roman" w:hAnsi="Times New Roman"/>
                <w:b/>
                <w:bCs/>
                <w:noProof w:val="0"/>
                <w:color w:val="000000"/>
                <w:lang w:val="en-US"/>
              </w:rPr>
              <w:t xml:space="preserve"> 95 x 70 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7AB" w:rsidRPr="006B17AB" w:rsidRDefault="006B17AB" w:rsidP="006B17AB">
            <w:pPr>
              <w:spacing w:after="0" w:line="240" w:lineRule="auto"/>
              <w:rPr>
                <w:rFonts w:eastAsia="Times New Roman" w:cs="Calibri"/>
                <w:noProof w:val="0"/>
                <w:color w:val="000000"/>
                <w:lang w:val="en-US"/>
              </w:rPr>
            </w:pPr>
          </w:p>
        </w:tc>
      </w:tr>
    </w:tbl>
    <w:p w:rsidR="00570F4F" w:rsidRDefault="00570F4F"/>
    <w:p w:rsidR="00570F4F" w:rsidRDefault="00570F4F"/>
    <w:p w:rsidR="00570F4F" w:rsidRDefault="00570F4F"/>
    <w:p w:rsidR="00570F4F" w:rsidRDefault="00570F4F"/>
    <w:p w:rsidR="00570F4F" w:rsidRDefault="00570F4F"/>
    <w:p w:rsidR="00570F4F" w:rsidRDefault="00570F4F"/>
    <w:p w:rsidR="00570F4F" w:rsidRDefault="00570F4F"/>
    <w:p w:rsidR="00570F4F" w:rsidRDefault="00570F4F"/>
    <w:sectPr w:rsidR="00570F4F" w:rsidSect="00DC2CB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476" w:rsidRDefault="00E60476" w:rsidP="00AE4844">
      <w:pPr>
        <w:spacing w:after="0" w:line="240" w:lineRule="auto"/>
      </w:pPr>
      <w:r>
        <w:separator/>
      </w:r>
    </w:p>
  </w:endnote>
  <w:endnote w:type="continuationSeparator" w:id="0">
    <w:p w:rsidR="00E60476" w:rsidRDefault="00E60476" w:rsidP="00AE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83641"/>
      <w:docPartObj>
        <w:docPartGallery w:val="Page Numbers (Bottom of Page)"/>
        <w:docPartUnique/>
      </w:docPartObj>
    </w:sdtPr>
    <w:sdtContent>
      <w:p w:rsidR="00AE4844" w:rsidRDefault="008E4BB5">
        <w:pPr>
          <w:pStyle w:val="Pta"/>
          <w:jc w:val="center"/>
        </w:pPr>
        <w:fldSimple w:instr=" PAGE   \* MERGEFORMAT ">
          <w:r w:rsidR="00075AD2">
            <w:t>2</w:t>
          </w:r>
        </w:fldSimple>
      </w:p>
    </w:sdtContent>
  </w:sdt>
  <w:p w:rsidR="00AE4844" w:rsidRDefault="00AE484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476" w:rsidRDefault="00E60476" w:rsidP="00AE4844">
      <w:pPr>
        <w:spacing w:after="0" w:line="240" w:lineRule="auto"/>
      </w:pPr>
      <w:r>
        <w:separator/>
      </w:r>
    </w:p>
  </w:footnote>
  <w:footnote w:type="continuationSeparator" w:id="0">
    <w:p w:rsidR="00E60476" w:rsidRDefault="00E60476" w:rsidP="00AE4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5F1"/>
    <w:rsid w:val="00001FB2"/>
    <w:rsid w:val="00062A6A"/>
    <w:rsid w:val="00075AD2"/>
    <w:rsid w:val="001C74C8"/>
    <w:rsid w:val="001F2984"/>
    <w:rsid w:val="002566EC"/>
    <w:rsid w:val="00321558"/>
    <w:rsid w:val="00356C27"/>
    <w:rsid w:val="003851FF"/>
    <w:rsid w:val="003C1348"/>
    <w:rsid w:val="005031E4"/>
    <w:rsid w:val="00570F4F"/>
    <w:rsid w:val="005E1524"/>
    <w:rsid w:val="00693FE0"/>
    <w:rsid w:val="006954FF"/>
    <w:rsid w:val="006A11AF"/>
    <w:rsid w:val="006A6A1E"/>
    <w:rsid w:val="006B17AB"/>
    <w:rsid w:val="00743E5F"/>
    <w:rsid w:val="00761BBD"/>
    <w:rsid w:val="00762E99"/>
    <w:rsid w:val="00785008"/>
    <w:rsid w:val="0087520A"/>
    <w:rsid w:val="008A15F1"/>
    <w:rsid w:val="008E4BB5"/>
    <w:rsid w:val="009068B8"/>
    <w:rsid w:val="00A046BD"/>
    <w:rsid w:val="00AE4844"/>
    <w:rsid w:val="00B8474B"/>
    <w:rsid w:val="00BC0654"/>
    <w:rsid w:val="00C8196A"/>
    <w:rsid w:val="00D52A71"/>
    <w:rsid w:val="00D647AB"/>
    <w:rsid w:val="00DC2CB3"/>
    <w:rsid w:val="00DD7072"/>
    <w:rsid w:val="00DF4F45"/>
    <w:rsid w:val="00E60476"/>
    <w:rsid w:val="00E87D7C"/>
    <w:rsid w:val="00EF44AB"/>
    <w:rsid w:val="00EF751D"/>
    <w:rsid w:val="00F02EB3"/>
    <w:rsid w:val="00FB5ACA"/>
    <w:rsid w:val="00FE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15F1"/>
    <w:rPr>
      <w:rFonts w:ascii="Calibri" w:eastAsia="Calibri" w:hAnsi="Calibri" w:cs="Times New Roman"/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5F1"/>
    <w:rPr>
      <w:rFonts w:ascii="Tahoma" w:eastAsia="Calibri" w:hAnsi="Tahoma" w:cs="Tahoma"/>
      <w:noProof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E48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E4844"/>
    <w:rPr>
      <w:rFonts w:ascii="Calibri" w:eastAsia="Calibri" w:hAnsi="Calibri" w:cs="Times New Roman"/>
      <w:noProof/>
      <w:lang w:val="sk-SK"/>
    </w:rPr>
  </w:style>
  <w:style w:type="paragraph" w:styleId="Pta">
    <w:name w:val="footer"/>
    <w:basedOn w:val="Normlny"/>
    <w:link w:val="PtaChar"/>
    <w:uiPriority w:val="99"/>
    <w:unhideWhenUsed/>
    <w:rsid w:val="00AE48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4844"/>
    <w:rPr>
      <w:rFonts w:ascii="Calibri" w:eastAsia="Calibri" w:hAnsi="Calibri" w:cs="Times New Roman"/>
      <w:noProof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9BD1-687B-4700-BBC4-ED74CFAD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jgasp</dc:creator>
  <cp:lastModifiedBy>jgasp</cp:lastModifiedBy>
  <cp:revision>31</cp:revision>
  <dcterms:created xsi:type="dcterms:W3CDTF">2023-05-22T17:51:00Z</dcterms:created>
  <dcterms:modified xsi:type="dcterms:W3CDTF">2023-06-07T08:26:00Z</dcterms:modified>
</cp:coreProperties>
</file>